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43" w:rsidRDefault="00390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«Приложение № 1</w:t>
      </w:r>
      <w:r>
        <w:rPr>
          <w:rFonts w:ascii="Times New Roman" w:hAnsi="Times New Roman"/>
          <w:bCs/>
          <w:sz w:val="18"/>
          <w:szCs w:val="18"/>
        </w:rPr>
        <w:br/>
        <w:t xml:space="preserve">к государственной программе Республики Тыва </w:t>
      </w:r>
    </w:p>
    <w:p w:rsidR="00D82F43" w:rsidRDefault="00390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«Воспроизводство и использование природных</w:t>
      </w:r>
    </w:p>
    <w:p w:rsidR="00D82F43" w:rsidRDefault="003907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ресурсов на 2021 – 2025 годы»</w:t>
      </w:r>
    </w:p>
    <w:p w:rsidR="00D82F43" w:rsidRDefault="00D82F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82F43" w:rsidRPr="00534CE3" w:rsidRDefault="003907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CE3">
        <w:rPr>
          <w:rFonts w:ascii="Times New Roman" w:hAnsi="Times New Roman" w:cs="Times New Roman"/>
          <w:b/>
        </w:rPr>
        <w:t>Информация</w:t>
      </w:r>
    </w:p>
    <w:p w:rsidR="00D82F43" w:rsidRPr="00534CE3" w:rsidRDefault="003907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CE3">
        <w:rPr>
          <w:rFonts w:ascii="Times New Roman" w:hAnsi="Times New Roman" w:cs="Times New Roman"/>
          <w:b/>
        </w:rPr>
        <w:t>о достижении индикаторов оценки эффективно</w:t>
      </w:r>
      <w:r w:rsidR="00534CE3">
        <w:rPr>
          <w:rFonts w:ascii="Times New Roman" w:hAnsi="Times New Roman" w:cs="Times New Roman"/>
          <w:b/>
        </w:rPr>
        <w:t xml:space="preserve">сти к государственной программе </w:t>
      </w:r>
      <w:r w:rsidRPr="00534CE3">
        <w:rPr>
          <w:rFonts w:ascii="Times New Roman" w:hAnsi="Times New Roman" w:cs="Times New Roman"/>
          <w:b/>
        </w:rPr>
        <w:t>Республики Тыва</w:t>
      </w:r>
    </w:p>
    <w:p w:rsidR="00D82F43" w:rsidRPr="00534CE3" w:rsidRDefault="0039078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4CE3">
        <w:rPr>
          <w:rFonts w:ascii="Times New Roman" w:hAnsi="Times New Roman" w:cs="Times New Roman"/>
          <w:b/>
        </w:rPr>
        <w:t>«Воспроизводство и использование природных ресурсов на 2021 – 2025 годы»</w:t>
      </w:r>
    </w:p>
    <w:p w:rsidR="00D82F43" w:rsidRPr="00534CE3" w:rsidRDefault="00F4040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4CE3">
        <w:rPr>
          <w:rFonts w:ascii="Times New Roman" w:hAnsi="Times New Roman" w:cs="Times New Roman"/>
          <w:b/>
          <w:u w:val="single"/>
        </w:rPr>
        <w:t xml:space="preserve">на </w:t>
      </w:r>
      <w:r w:rsidR="00631F9A" w:rsidRPr="00534CE3">
        <w:rPr>
          <w:rFonts w:ascii="Times New Roman" w:hAnsi="Times New Roman" w:cs="Times New Roman"/>
          <w:b/>
          <w:u w:val="single"/>
        </w:rPr>
        <w:t>0</w:t>
      </w:r>
      <w:r w:rsidR="000A3E86" w:rsidRPr="00534CE3">
        <w:rPr>
          <w:rFonts w:ascii="Times New Roman" w:hAnsi="Times New Roman" w:cs="Times New Roman"/>
          <w:b/>
          <w:u w:val="single"/>
        </w:rPr>
        <w:t>1</w:t>
      </w:r>
      <w:r w:rsidR="00631F9A" w:rsidRPr="00534CE3">
        <w:rPr>
          <w:rFonts w:ascii="Times New Roman" w:hAnsi="Times New Roman" w:cs="Times New Roman"/>
          <w:b/>
          <w:u w:val="single"/>
        </w:rPr>
        <w:t xml:space="preserve"> </w:t>
      </w:r>
      <w:r w:rsidR="00786ED2">
        <w:rPr>
          <w:rFonts w:ascii="Times New Roman" w:hAnsi="Times New Roman" w:cs="Times New Roman"/>
          <w:b/>
          <w:u w:val="single"/>
        </w:rPr>
        <w:t>января</w:t>
      </w:r>
      <w:r w:rsidR="00162F27" w:rsidRPr="00534CE3">
        <w:rPr>
          <w:rFonts w:ascii="Times New Roman" w:hAnsi="Times New Roman" w:cs="Times New Roman"/>
          <w:b/>
          <w:u w:val="single"/>
        </w:rPr>
        <w:t xml:space="preserve"> 202</w:t>
      </w:r>
      <w:r w:rsidR="00786ED2">
        <w:rPr>
          <w:rFonts w:ascii="Times New Roman" w:hAnsi="Times New Roman" w:cs="Times New Roman"/>
          <w:b/>
          <w:u w:val="single"/>
        </w:rPr>
        <w:t>3</w:t>
      </w:r>
      <w:r w:rsidR="00390787" w:rsidRPr="00534CE3">
        <w:rPr>
          <w:rFonts w:ascii="Times New Roman" w:hAnsi="Times New Roman" w:cs="Times New Roman"/>
          <w:b/>
          <w:u w:val="single"/>
        </w:rPr>
        <w:t xml:space="preserve"> г.</w:t>
      </w:r>
    </w:p>
    <w:p w:rsidR="00D82F43" w:rsidRPr="00534CE3" w:rsidRDefault="00D82F43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0632" w:type="dxa"/>
        <w:tblInd w:w="-34" w:type="dxa"/>
        <w:tblLook w:val="04A0" w:firstRow="1" w:lastRow="0" w:firstColumn="1" w:lastColumn="0" w:noHBand="0" w:noVBand="1"/>
      </w:tblPr>
      <w:tblGrid>
        <w:gridCol w:w="3970"/>
        <w:gridCol w:w="1276"/>
        <w:gridCol w:w="1134"/>
        <w:gridCol w:w="992"/>
        <w:gridCol w:w="3260"/>
      </w:tblGrid>
      <w:tr w:rsidR="00D82F43" w:rsidTr="00534CE3">
        <w:trPr>
          <w:trHeight w:val="54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Фактический результат выполнения мероприятия</w:t>
            </w:r>
          </w:p>
        </w:tc>
      </w:tr>
      <w:tr w:rsidR="00D82F43" w:rsidTr="00534CE3">
        <w:trPr>
          <w:trHeight w:val="63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3" w:rsidRDefault="003907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Подпрограмма 1 «Обеспечение защиты населения и объектов экономики от негативного воздействия вод на территории Республики Тыва»</w:t>
            </w:r>
          </w:p>
        </w:tc>
      </w:tr>
      <w:tr w:rsidR="00B624AD" w:rsidTr="00534CE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B30826" w:rsidRDefault="00B624AD" w:rsidP="00B30826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C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0826">
              <w:rPr>
                <w:rFonts w:ascii="Times New Roman" w:hAnsi="Times New Roman" w:cs="Times New Roman"/>
                <w:sz w:val="20"/>
                <w:szCs w:val="20"/>
              </w:rPr>
              <w:t>Доля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общем количестве населения, проживающего на таких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176FF6" w:rsidP="00A5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B624AD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3E16" w:rsidRDefault="00167E77" w:rsidP="00383E1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Соглашение о предоставлении субсидии из федерального бюджета бюджету субъекта Российской Федерации подписано и зарегистрировано в системе ЕИС «Электронный бюджет» за № 052-09-2022-041 от 24 декабря 2021 г.</w:t>
            </w:r>
            <w:r w:rsidR="00BD2368">
              <w:rPr>
                <w:rFonts w:ascii="Times New Roman" w:hAnsi="Times New Roman" w:cs="Times New Roman"/>
                <w:sz w:val="20"/>
                <w:szCs w:val="20"/>
              </w:rPr>
              <w:t xml:space="preserve"> и дополнительное соглашение №052-09-2022-041/3 от 27.07.2022 г.</w:t>
            </w:r>
            <w:r w:rsidR="00383E16">
              <w:rPr>
                <w:rFonts w:ascii="Times New Roman" w:hAnsi="Times New Roman" w:cs="Times New Roman"/>
                <w:sz w:val="20"/>
                <w:szCs w:val="20"/>
              </w:rPr>
              <w:t>, дополнительное</w:t>
            </w:r>
            <w:r w:rsidR="00383E16" w:rsidRPr="00383E16">
              <w:rPr>
                <w:rFonts w:ascii="Times New Roman" w:hAnsi="Times New Roman" w:cs="Times New Roman"/>
                <w:sz w:val="20"/>
                <w:szCs w:val="20"/>
              </w:rPr>
              <w:t xml:space="preserve"> соглашение от 09.11.2022 №052-09-2022-041/4 к соглашению о предоставлении субсидии из федерального бюджета предусмотрено выделение в 2022-2023 г. на мероприятие субсидии с федерального бюджета в размере 487830,7 тыс. рублей (2022 - 473343,00017 тыс. рублей., 2023 – 14487,69983 тыс. рублей.)</w:t>
            </w:r>
            <w:r w:rsidR="00671C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624AD" w:rsidRPr="004E604B" w:rsidRDefault="004E604B" w:rsidP="00167E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167E77">
              <w:rPr>
                <w:rFonts w:ascii="Times New Roman" w:hAnsi="Times New Roman" w:cs="Times New Roman"/>
                <w:sz w:val="20"/>
                <w:szCs w:val="20"/>
              </w:rPr>
              <w:t>огласно, которому финансирование предусмотрено на 2022 и 2023 годы. Показатели по численности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 и размеру предотвращенного ущерба будет достигнут в 2023 году, после ввода объекта «Устройство защитной дамбы на р. Енисей в западной части г. Кызыл» в эксплуатации в 2023 году</w:t>
            </w:r>
          </w:p>
        </w:tc>
      </w:tr>
      <w:tr w:rsidR="00B624AD" w:rsidTr="00534CE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B30826" w:rsidRDefault="00B624AD" w:rsidP="00B30826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C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0826">
              <w:rPr>
                <w:rFonts w:ascii="Times New Roman" w:hAnsi="Times New Roman" w:cs="Times New Roman"/>
                <w:sz w:val="20"/>
                <w:szCs w:val="20"/>
              </w:rPr>
              <w:t>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воздействия вод, по состоянию на конец периода, предшествующего отчетному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176FF6" w:rsidP="00A5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B624AD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AD" w:rsidRPr="00DE7BA1" w:rsidRDefault="00B624AD" w:rsidP="00DE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4AD" w:rsidTr="00534CE3">
        <w:trPr>
          <w:trHeight w:val="76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5C4283" w:rsidRDefault="00B624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5C4283">
              <w:rPr>
                <w:rFonts w:ascii="Times New Roman" w:hAnsi="Times New Roman" w:cs="Times New Roman"/>
                <w:sz w:val="20"/>
                <w:szCs w:val="20"/>
              </w:rPr>
              <w:t>. Численность населения, проживающего на подверженных негативному воздействию вод территориях, защищенного в результате проведения мероприятий по повышению защищенности от негативного воздействия вод, в отчетном периоде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176FF6" w:rsidP="00A5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B624AD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AD" w:rsidRPr="00DE7BA1" w:rsidRDefault="00B624AD" w:rsidP="00DE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4AD" w:rsidTr="00534CE3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B30826" w:rsidRDefault="00B624AD" w:rsidP="00B30826">
            <w:pPr>
              <w:pStyle w:val="a5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C42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30826">
              <w:rPr>
                <w:rFonts w:ascii="Times New Roman" w:hAnsi="Times New Roman" w:cs="Times New Roman"/>
                <w:sz w:val="20"/>
                <w:szCs w:val="20"/>
              </w:rPr>
              <w:t>Размер предотвращенного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176FF6" w:rsidP="00A5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432,54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B624AD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AD" w:rsidRPr="00DE7BA1" w:rsidRDefault="00B624AD" w:rsidP="00DE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4AD" w:rsidTr="00534CE3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B30826" w:rsidRDefault="00B62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26">
              <w:rPr>
                <w:rFonts w:ascii="Times New Roman" w:hAnsi="Times New Roman" w:cs="Times New Roman"/>
                <w:sz w:val="20"/>
                <w:szCs w:val="20"/>
              </w:rPr>
              <w:t>5. Протяженность новых гидротехнических сооружений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176FF6" w:rsidP="00A52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B624AD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24AD" w:rsidRPr="00DE7BA1" w:rsidRDefault="00B624AD" w:rsidP="00DE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624AD" w:rsidTr="00534CE3">
        <w:trPr>
          <w:trHeight w:val="38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Pr="00B30826" w:rsidRDefault="00B624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0826">
              <w:rPr>
                <w:rFonts w:ascii="Times New Roman" w:hAnsi="Times New Roman" w:cs="Times New Roman"/>
                <w:sz w:val="20"/>
                <w:szCs w:val="20"/>
              </w:rPr>
              <w:t>8. Объем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Default="00B624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рублей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816D61" w:rsidP="00176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4AD" w:rsidRDefault="00816D61" w:rsidP="006726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5,019</w:t>
            </w:r>
          </w:p>
        </w:tc>
        <w:tc>
          <w:tcPr>
            <w:tcW w:w="3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24AD" w:rsidRPr="00DE7BA1" w:rsidRDefault="00B624AD" w:rsidP="00DE7B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2F43" w:rsidTr="00534CE3">
        <w:trPr>
          <w:trHeight w:val="38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F43" w:rsidRPr="00DE7BA1" w:rsidRDefault="00390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7BA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2 «Развитие лесного хозяйства Республики Тыва»</w:t>
            </w:r>
          </w:p>
        </w:tc>
      </w:tr>
      <w:tr w:rsidR="007A4681" w:rsidTr="00534CE3">
        <w:trPr>
          <w:trHeight w:val="96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Лесистость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480D53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231EE6" w:rsidRDefault="00F81687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Pr="00A97F5C" w:rsidRDefault="007A4681" w:rsidP="007A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занятых лесными насаждениями земель на территории Респу</w:t>
            </w:r>
            <w:r w:rsidR="006A16C0">
              <w:rPr>
                <w:rFonts w:ascii="Times New Roman" w:hAnsi="Times New Roman" w:cs="Times New Roman"/>
                <w:sz w:val="20"/>
                <w:szCs w:val="20"/>
              </w:rPr>
              <w:t>блики Тыва составила 8330,3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га.</w:t>
            </w:r>
          </w:p>
        </w:tc>
      </w:tr>
      <w:tr w:rsidR="007A4681" w:rsidTr="00534CE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231EE6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1E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Pr="00A97F5C" w:rsidRDefault="007A4681" w:rsidP="007A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лесов, переданных в аренду, на постоянное (бессрочное) и безвозмездное пользования составила 193,4 тыс. га</w:t>
            </w:r>
            <w:r w:rsidRPr="00845B08">
              <w:rPr>
                <w:rFonts w:ascii="Times New Roman" w:hAnsi="Times New Roman" w:cs="Times New Roman"/>
                <w:sz w:val="20"/>
                <w:szCs w:val="20"/>
              </w:rPr>
              <w:t xml:space="preserve">. (Отчет за </w:t>
            </w:r>
            <w:r w:rsidR="002B77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45B08">
              <w:rPr>
                <w:rFonts w:ascii="Times New Roman" w:hAnsi="Times New Roman" w:cs="Times New Roman"/>
                <w:sz w:val="20"/>
                <w:szCs w:val="20"/>
              </w:rPr>
              <w:t xml:space="preserve"> квартал ГКУ РТ </w:t>
            </w:r>
            <w:r w:rsidRPr="00845B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лесничества предоставляют с 11 по 18 </w:t>
            </w:r>
            <w:r w:rsidR="002B77EE">
              <w:rPr>
                <w:rFonts w:ascii="Times New Roman" w:hAnsi="Times New Roman" w:cs="Times New Roman"/>
                <w:sz w:val="20"/>
                <w:szCs w:val="20"/>
              </w:rPr>
              <w:t>декаб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ря</w:t>
            </w:r>
            <w:r w:rsidRPr="00845B08">
              <w:rPr>
                <w:rFonts w:ascii="Times New Roman" w:hAnsi="Times New Roman" w:cs="Times New Roman"/>
                <w:sz w:val="20"/>
                <w:szCs w:val="20"/>
              </w:rPr>
              <w:t>, свод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 25 октября)</w:t>
            </w:r>
          </w:p>
        </w:tc>
      </w:tr>
      <w:tr w:rsidR="009B4D4F" w:rsidTr="00534CE3">
        <w:trPr>
          <w:trHeight w:val="10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Pr="00E167BB" w:rsidRDefault="009B4D4F" w:rsidP="009B4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 Отношение площади лесовосстановления и лесоразведения к площади вырубленных и погибших лесных насаждений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4F" w:rsidRPr="00E167BB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Pr="00E167BB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67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P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4F" w:rsidRPr="009B4D4F" w:rsidRDefault="009B4D4F" w:rsidP="006E01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>Площадь вырубленных лесных насаждений составила 612 тыс. га. Пл</w:t>
            </w:r>
            <w:r w:rsidR="00C27562">
              <w:rPr>
                <w:rFonts w:ascii="Times New Roman" w:hAnsi="Times New Roman" w:cs="Times New Roman"/>
                <w:sz w:val="20"/>
                <w:szCs w:val="20"/>
              </w:rPr>
              <w:t>ощадь лесовосстановления на 01.0</w:t>
            </w: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>1.202</w:t>
            </w:r>
            <w:r w:rsidR="00C2756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E0113">
              <w:rPr>
                <w:rFonts w:ascii="Times New Roman" w:hAnsi="Times New Roman" w:cs="Times New Roman"/>
                <w:sz w:val="20"/>
                <w:szCs w:val="20"/>
              </w:rPr>
              <w:t xml:space="preserve"> г. 8743,4</w:t>
            </w: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 xml:space="preserve"> га.</w:t>
            </w:r>
          </w:p>
        </w:tc>
      </w:tr>
      <w:tr w:rsidR="009B4D4F" w:rsidTr="00534CE3">
        <w:trPr>
          <w:trHeight w:val="179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Default="009B4D4F" w:rsidP="009B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руб./га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P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4F" w:rsidRPr="009B4D4F" w:rsidRDefault="009B4D4F" w:rsidP="00F135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 xml:space="preserve">Объем платежей в бюджетную систему Российской Федерации от использования лесов, расположенных на землях лесного фонда на территории Республики Тыва на общую сумму </w:t>
            </w:r>
            <w:r w:rsidR="0075441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13545">
              <w:rPr>
                <w:rFonts w:ascii="Times New Roman" w:hAnsi="Times New Roman" w:cs="Times New Roman"/>
                <w:sz w:val="20"/>
                <w:szCs w:val="20"/>
              </w:rPr>
              <w:t>88171,1</w:t>
            </w: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9B4D4F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Default="009B4D4F" w:rsidP="009B4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Отношение фактического объема заготовки древесины к установленному допустимому объему изъятия древесины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Default="00B21917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4D4F" w:rsidRPr="009B4D4F" w:rsidRDefault="009B4D4F" w:rsidP="009B4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4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4D4F" w:rsidRPr="009B4D4F" w:rsidRDefault="009B4D4F" w:rsidP="009B4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D4F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заготовленной древесины на 134,1 </w:t>
            </w:r>
            <w:r w:rsidRPr="009B4D4F">
              <w:rPr>
                <w:rFonts w:ascii="Times New Roman" w:hAnsi="Times New Roman" w:cs="Times New Roman"/>
                <w:sz w:val="20"/>
              </w:rPr>
              <w:t>тыс. м</w:t>
            </w:r>
            <w:r w:rsidRPr="009B4D4F">
              <w:rPr>
                <w:rFonts w:ascii="Times New Roman" w:hAnsi="Times New Roman" w:cs="Times New Roman"/>
                <w:sz w:val="20"/>
                <w:vertAlign w:val="superscript"/>
              </w:rPr>
              <w:t>3</w:t>
            </w:r>
            <w:r w:rsidRPr="009B4D4F">
              <w:rPr>
                <w:rFonts w:ascii="Times New Roman" w:hAnsi="Times New Roman" w:cs="Times New Roman"/>
                <w:sz w:val="20"/>
              </w:rPr>
              <w:t xml:space="preserve">. </w:t>
            </w:r>
          </w:p>
        </w:tc>
      </w:tr>
      <w:tr w:rsidR="00FA216D" w:rsidTr="00534CE3">
        <w:trPr>
          <w:trHeight w:val="16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6D" w:rsidRDefault="00FA216D" w:rsidP="00FA2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216D" w:rsidRDefault="00FA216D" w:rsidP="00F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6D" w:rsidRPr="00430884" w:rsidRDefault="00FA216D" w:rsidP="00F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0884"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216D" w:rsidRPr="00A1203B" w:rsidRDefault="00FA216D" w:rsidP="00FA2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1203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216D" w:rsidRPr="00A1203B" w:rsidRDefault="00FA216D" w:rsidP="00FA216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1203B">
              <w:rPr>
                <w:rFonts w:ascii="Times New Roman" w:hAnsi="Times New Roman" w:cs="Times New Roman"/>
                <w:sz w:val="20"/>
                <w:szCs w:val="20"/>
              </w:rPr>
              <w:t>Количество пожаров, ликвидированных в течение первых суток с момента обнаружения – 63;</w:t>
            </w:r>
          </w:p>
          <w:p w:rsidR="00FA216D" w:rsidRPr="00A1203B" w:rsidRDefault="00FA216D" w:rsidP="00FA21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203B">
              <w:rPr>
                <w:rFonts w:ascii="Times New Roman" w:hAnsi="Times New Roman" w:cs="Times New Roman"/>
                <w:sz w:val="20"/>
                <w:szCs w:val="20"/>
              </w:rPr>
              <w:t>Количество лесных пожаров, по которым осуществлялись мероприятия по тушению – 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120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</w:tr>
      <w:tr w:rsidR="007A4681" w:rsidTr="00534CE3">
        <w:trPr>
          <w:trHeight w:val="147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Доля площади погибших и поврежденных лесных насаждений с учетом проведенных мероприятий по защите леса в общей площади земель лесного фонда, занятых лесными насаждениями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98290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1,201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Pr="00361635" w:rsidRDefault="007A4681" w:rsidP="007A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61635">
              <w:rPr>
                <w:rFonts w:ascii="Times New Roman" w:hAnsi="Times New Roman" w:cs="Times New Roman"/>
                <w:sz w:val="20"/>
                <w:szCs w:val="20"/>
              </w:rPr>
              <w:t>Общая площадь погибших и поврежденных насаждений с усыханием более 40% накопленным итогом с учетом проведенных мероприятий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отчетный период составляет </w:t>
            </w:r>
            <w:r w:rsidRPr="00162461">
              <w:rPr>
                <w:rFonts w:ascii="Times New Roman" w:hAnsi="Times New Roman" w:cs="Times New Roman"/>
                <w:sz w:val="20"/>
                <w:szCs w:val="20"/>
              </w:rPr>
              <w:t>39140,2 га.</w:t>
            </w:r>
          </w:p>
        </w:tc>
      </w:tr>
      <w:tr w:rsidR="007A4681" w:rsidTr="00534CE3">
        <w:trPr>
          <w:trHeight w:val="11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Средняя численность должностных лиц, осуществляющих федеральный государственный лесной надзор (лесную охрану) на 50 тыс. га земель лесного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F81687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687" w:rsidRPr="00982901" w:rsidRDefault="00F81687" w:rsidP="00F816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Pr="00A97F5C" w:rsidRDefault="007A4681" w:rsidP="007A46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Должностные лица, осуществляющие федеральный государственный лесной надзор, насчитываются в 213 человек.</w:t>
            </w:r>
          </w:p>
        </w:tc>
      </w:tr>
      <w:tr w:rsidR="007A4681" w:rsidTr="00534CE3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Доля выписок, предоставленных гражданам и юридическим лицам, 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98290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829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Default="007A4681" w:rsidP="00DE44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0334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Предоставлена </w:t>
            </w:r>
            <w:r w:rsidR="00006F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E44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167B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выписок</w:t>
            </w:r>
            <w:r w:rsidRPr="00E167BB">
              <w:rPr>
                <w:rFonts w:ascii="Times New Roman" w:hAnsi="Times New Roman" w:cs="Times New Roman"/>
                <w:sz w:val="20"/>
                <w:szCs w:val="20"/>
              </w:rPr>
              <w:t xml:space="preserve"> из государственного лесного реестра.</w:t>
            </w:r>
          </w:p>
        </w:tc>
      </w:tr>
      <w:tr w:rsidR="007A4681" w:rsidTr="00534CE3">
        <w:trPr>
          <w:trHeight w:val="135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Default="007A4681" w:rsidP="007A46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Динамика предотвращения возникновения нарушений лесного законодательства, причиняющих вред лесам, относительно уровня нарушений предыдущего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51363B" w:rsidRDefault="007A4681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681" w:rsidRPr="00982901" w:rsidRDefault="00DD2666" w:rsidP="007A46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58,5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4681" w:rsidRPr="0051363B" w:rsidRDefault="007A4681" w:rsidP="00DD26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Уточненные данные мероприятия будут после предоставления </w:t>
            </w:r>
            <w:r w:rsidR="00DD2666">
              <w:rPr>
                <w:rFonts w:ascii="Times New Roman" w:hAnsi="Times New Roman" w:cs="Times New Roman"/>
                <w:sz w:val="20"/>
                <w:szCs w:val="20"/>
              </w:rPr>
              <w:t>отчетности 8-ОИП,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отчетность полугодовая.</w:t>
            </w:r>
          </w:p>
        </w:tc>
      </w:tr>
      <w:tr w:rsidR="00810649" w:rsidTr="00534CE3">
        <w:trPr>
          <w:trHeight w:val="415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49" w:rsidRPr="00982901" w:rsidRDefault="0081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829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3 «Охрана и воспроизводство объектов животного мира в Республике Тыва»</w:t>
            </w:r>
          </w:p>
        </w:tc>
      </w:tr>
      <w:tr w:rsidR="00494EC5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 xml:space="preserve">1. Доля видов охотничьих ресурсов, по которым ведется учет их численности в рамках государственного мониторинга охотничьих ресурсов и среды их обитания, в общем количестве видов охотничьих ресурсов, обитающих на территории </w:t>
            </w:r>
            <w:r w:rsidRPr="003A62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Республики Тыва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lastRenderedPageBreak/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Исполнено.</w:t>
            </w:r>
          </w:p>
          <w:p w:rsidR="00494EC5" w:rsidRPr="003A62B4" w:rsidRDefault="00494EC5" w:rsidP="00494EC5">
            <w:pPr>
              <w:spacing w:after="0"/>
            </w:pPr>
          </w:p>
        </w:tc>
      </w:tr>
      <w:tr w:rsidR="00494EC5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2. Доля нарушений, выявленных при осуществлении федерального государственного охотничьего надзора, по которым вынесены постановления о привлечении к административной ответственности, к общему количеству выявленных нарушений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1687" w:rsidRDefault="00F81687" w:rsidP="00F816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Исполнено.</w:t>
            </w:r>
          </w:p>
          <w:p w:rsidR="00494EC5" w:rsidRPr="003A62B4" w:rsidRDefault="00494EC5" w:rsidP="00F81687"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рамках осуществления федерального охотничьего надзора на территории Республики Тыва за январь-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декабрь</w:t>
            </w:r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2022 года выявлено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280</w:t>
            </w:r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нарушений природоохранного законодательства, по которым в отношении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205</w:t>
            </w:r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нарушений вынесены постановлении о назначении административного наказания, что составляет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73,2 </w:t>
            </w:r>
            <w:r w:rsidRPr="003A62B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 от общего количества выявленных нарушений.</w:t>
            </w:r>
          </w:p>
        </w:tc>
      </w:tr>
      <w:tr w:rsidR="00494EC5" w:rsidTr="00534CE3">
        <w:trPr>
          <w:trHeight w:val="27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 xml:space="preserve">3.Индекс численности волка (соотношение численности волка по окончании охотничьего сезона в текущем году к его численности по окончании охотничьего сезона 2019/20 года)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F81687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:rsidR="00494EC5" w:rsidRPr="003A62B4" w:rsidRDefault="00494EC5" w:rsidP="00494EC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По данным государственного мониторинга охотничьих ресурсов численность волка на территории Республики Тыва в 2022 году составляет 1247 особей (1428 особей в 2020 году). По плану Госкомохотнадзором Республики Тыва необходимо уменьшить численность волка в 2022 году до 1299 особей. При этом Госкомохотнадзором Республики Тыва в 2022 обеспечено снижение численности волка на территории Республики Тыва на 181 особь, по сравнению с 2020 годом. А именно до 1247 особей, что показывает перевыполнение плана на 52 особей.</w:t>
            </w:r>
          </w:p>
        </w:tc>
      </w:tr>
      <w:tr w:rsidR="00494EC5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 xml:space="preserve">4.Индекс численности охотничьих ресурсов в охотничьих угодьях (отношение численности охотничьих ресурсов по окончании охотничьего сезона в текущем году к их численности по окончании охотничьего сезона 2019/20 года) по видам,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F7D59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Исполнено.</w:t>
            </w:r>
          </w:p>
          <w:p w:rsidR="00494EC5" w:rsidRPr="003A62B4" w:rsidRDefault="00494EC5" w:rsidP="00494E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94EC5" w:rsidTr="00534CE3">
        <w:trPr>
          <w:trHeight w:val="28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4.1. лось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мониторинга охотничьих ресурсов численность лося на территории Республики Тыва в 2022 году составляет 5162 особи, что составляет 129% от численности лося в 2020 году (1428 особей).</w:t>
            </w:r>
          </w:p>
        </w:tc>
      </w:tr>
      <w:tr w:rsidR="00494EC5" w:rsidTr="00534CE3">
        <w:trPr>
          <w:trHeight w:val="28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4.</w:t>
            </w:r>
            <w:r w:rsidRPr="003A62B4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Pr="003A62B4">
              <w:rPr>
                <w:rFonts w:ascii="Times New Roman" w:hAnsi="Times New Roman"/>
                <w:sz w:val="20"/>
                <w:szCs w:val="20"/>
              </w:rPr>
              <w:t>. косуля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мониторинга охотничьих ресурсов численность косули сибирской на территории Республики Тыва в 2022 году составляет 41110 особей, что составляет 120% от численности косули сибирской в 2020 году (34233 особи).</w:t>
            </w:r>
          </w:p>
        </w:tc>
      </w:tr>
      <w:tr w:rsidR="00494EC5" w:rsidTr="00534CE3">
        <w:trPr>
          <w:trHeight w:val="283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4.</w:t>
            </w:r>
            <w:r w:rsidRPr="003A62B4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3A62B4">
              <w:rPr>
                <w:rFonts w:ascii="Times New Roman" w:hAnsi="Times New Roman"/>
                <w:sz w:val="20"/>
                <w:szCs w:val="20"/>
              </w:rPr>
              <w:t>.благородный олень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данным государственного мониторинга охотничьих ресурсов численность благородного оленя на территории Республики Тыва в 2022 году составляет 15671 особь, 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что составляет 125% от численности благородного оленя в 2020 году (12524 особи).</w:t>
            </w:r>
          </w:p>
        </w:tc>
      </w:tr>
      <w:tr w:rsidR="00494EC5" w:rsidTr="00534CE3">
        <w:trPr>
          <w:trHeight w:val="25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  <w:r w:rsidRPr="003A62B4"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  <w:r w:rsidRPr="003A62B4">
              <w:rPr>
                <w:rFonts w:ascii="Times New Roman" w:hAnsi="Times New Roman"/>
                <w:sz w:val="20"/>
                <w:szCs w:val="20"/>
              </w:rPr>
              <w:t>.сибирский горный козел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мониторинга охотничьих ресурсов численность сибирского горного козла на территории Республики Тыва в 2022 году составляет 7651 особь, что составляет 107% от численности сибирского горного козла в 2020 году (7115 особей).</w:t>
            </w:r>
          </w:p>
        </w:tc>
      </w:tr>
      <w:tr w:rsidR="00494EC5" w:rsidTr="00534CE3">
        <w:trPr>
          <w:trHeight w:val="2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4.</w:t>
            </w:r>
            <w:r w:rsidRPr="003A62B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3A62B4">
              <w:rPr>
                <w:rFonts w:ascii="Times New Roman" w:hAnsi="Times New Roman"/>
                <w:sz w:val="20"/>
                <w:szCs w:val="20"/>
              </w:rPr>
              <w:t>. соболь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EC5" w:rsidRPr="003A62B4" w:rsidRDefault="00494EC5" w:rsidP="00494E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2B4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EC5" w:rsidRPr="003A62B4" w:rsidRDefault="00494EC5" w:rsidP="00494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данным государственного мониторинга охотничьих ресурсов численность соболя на территории Республики Тыва в 2022 году составляет 25862 особи, что составляет 115% от численности соболя в 2020 году (22387 особей).</w:t>
            </w:r>
          </w:p>
        </w:tc>
      </w:tr>
      <w:tr w:rsidR="00044082" w:rsidTr="0055076C">
        <w:trPr>
          <w:trHeight w:val="26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5.Соотношение фактической добычи охотничьих ресурсов к установленным лимитам добычи по видам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40 до 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714280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4082" w:rsidRDefault="00053401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Будет установлено к концу сезона охоты на соболя, который начинается с 15 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февраля</w:t>
            </w:r>
            <w:r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44082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5.1. лось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Pr="007E54FF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Выполнено.</w:t>
            </w:r>
          </w:p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Указом Главы Республики Тыва от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 202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AA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утверждены лимиты добычи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лося в количестве 1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особей. В целях осуществления любительской и спортивной охоты на лося выдано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разрешений на их  добычу, по которым добыто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 лося.</w:t>
            </w:r>
          </w:p>
        </w:tc>
      </w:tr>
      <w:tr w:rsidR="00044082" w:rsidTr="00534CE3">
        <w:trPr>
          <w:trHeight w:val="27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EC6091" w:rsidP="000440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5.2</w:t>
            </w:r>
            <w:r w:rsidR="00044082">
              <w:rPr>
                <w:rFonts w:ascii="Times New Roman" w:hAnsi="Times New Roman"/>
                <w:sz w:val="20"/>
                <w:szCs w:val="20"/>
              </w:rPr>
              <w:t>. косуля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Pr="007E54FF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Выполнено.</w:t>
            </w:r>
          </w:p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Указом Главы Республики Тыва от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 202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AA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утверждены лимиты добычи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косули сибирской в </w:t>
            </w:r>
            <w:r w:rsidR="005C1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количестве 1607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особей. В целях осуществления любительской и спортивной охоты на косулю сибирскую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выдано 1139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разрешений на их  добычу, по которым добыто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 косули.</w:t>
            </w:r>
          </w:p>
        </w:tc>
      </w:tr>
      <w:tr w:rsidR="00044082" w:rsidTr="00534CE3">
        <w:trPr>
          <w:trHeight w:val="28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EC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EC6091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.благородный олень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211CFF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Выполнено.</w:t>
            </w:r>
          </w:p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Указом Главы Республики Тыва от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 202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утверждены лимиты добычи благородного оленя в количестве 66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особей. В целях осуществления любительской и спортивной охоты на благородного оленя выдано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разрешений на их  добычу, по которым добыто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 благородного оленя.</w:t>
            </w:r>
          </w:p>
        </w:tc>
      </w:tr>
      <w:tr w:rsidR="00044082" w:rsidTr="00534CE3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EC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  <w:r w:rsidR="00EC609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.сибирский горный козел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211CFF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Pr="007E54FF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Выполнено.</w:t>
            </w:r>
          </w:p>
          <w:p w:rsidR="00044082" w:rsidRDefault="00044082" w:rsidP="000440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Указом Главы Республики Тыва от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июля 202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2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21 </w:t>
            </w:r>
            <w:r w:rsidR="00AA10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утверждены лимиты добычи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сибирского горного козла в количестве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особей. В целях осуществления любительской и спортивной охоты на сибирского горного козла выдано </w:t>
            </w:r>
            <w:r w:rsidRPr="00EC07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разрешений на их  добычу, по которым добыто </w:t>
            </w:r>
            <w:r w:rsidRPr="007E5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особей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козерога.</w:t>
            </w:r>
          </w:p>
        </w:tc>
      </w:tr>
      <w:tr w:rsidR="00044082" w:rsidTr="00534CE3">
        <w:trPr>
          <w:trHeight w:val="26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44082" w:rsidP="00EC60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  <w:r w:rsidR="00EC6091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. соболь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4408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211CFF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082" w:rsidRDefault="000C1772" w:rsidP="000440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4082" w:rsidRDefault="000C1772" w:rsidP="000C1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044082"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становлено к концу сезона охоты на соболя, который начинается с 15 октября </w:t>
            </w:r>
            <w:r w:rsidR="000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044082"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</w:t>
            </w:r>
            <w:r w:rsidR="000440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февраля</w:t>
            </w:r>
            <w:r w:rsidR="00044082" w:rsidRPr="003A62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810649" w:rsidTr="00534CE3">
        <w:trPr>
          <w:trHeight w:val="367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649" w:rsidRPr="003A62B4" w:rsidRDefault="008106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A62B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Подпрограмма 4 «Охрана окружающей среды в Республике Тыва»</w:t>
            </w:r>
          </w:p>
        </w:tc>
      </w:tr>
      <w:tr w:rsidR="00810649" w:rsidTr="00534CE3">
        <w:trPr>
          <w:trHeight w:val="3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49" w:rsidRPr="003A62B4" w:rsidRDefault="00810649">
            <w:pPr>
              <w:rPr>
                <w:rFonts w:ascii="Times New Roman" w:hAnsi="Times New Roman" w:cs="Times New Roman"/>
                <w:sz w:val="20"/>
              </w:rPr>
            </w:pPr>
            <w:r w:rsidRPr="003A62B4">
              <w:rPr>
                <w:rFonts w:ascii="Times New Roman" w:hAnsi="Times New Roman" w:cs="Times New Roman"/>
                <w:sz w:val="20"/>
              </w:rPr>
              <w:t>1. Качество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649" w:rsidRPr="003A62B4" w:rsidRDefault="008106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49" w:rsidRPr="003A62B4" w:rsidRDefault="008106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0649" w:rsidRPr="003A62B4" w:rsidRDefault="007F30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87,46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10649" w:rsidRPr="003A62B4" w:rsidRDefault="007F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Прогнозное значение показателей КОС остаётся на уровне 2021 года, т.е. 87,46 %</w:t>
            </w:r>
          </w:p>
        </w:tc>
      </w:tr>
      <w:tr w:rsidR="00913F97" w:rsidTr="00534CE3">
        <w:trPr>
          <w:trHeight w:val="32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Количество проведенных аналитических и экспертных работ в рамках функционирования территориальной системы мониторинга окружающей среды</w:t>
            </w:r>
          </w:p>
          <w:p w:rsidR="00913F97" w:rsidRPr="003A62B4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3A62B4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3A62B4" w:rsidRDefault="00913F97" w:rsidP="00913F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3A62B4" w:rsidRDefault="00913F97" w:rsidP="00913F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461525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плановых и внеплановых проверок не проводились </w:t>
            </w:r>
          </w:p>
        </w:tc>
      </w:tr>
      <w:tr w:rsidR="00913F97" w:rsidTr="00534CE3">
        <w:trPr>
          <w:trHeight w:val="12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D97CF8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  <w:r w:rsidRPr="00D97CF8">
              <w:rPr>
                <w:rFonts w:ascii="Times New Roman" w:hAnsi="Times New Roman" w:cs="Times New Roman"/>
                <w:sz w:val="20"/>
              </w:rPr>
              <w:t>3. Доля проверок, по итогам которых выявлены правонарушения природоохранного законодательства, от общего количества проведенных плановых и внеплановых проверок до 75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D97CF8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461525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461525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615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461525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 xml:space="preserve">В 2022 году 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плановых и внеплановых проверок не проводились </w:t>
            </w:r>
          </w:p>
        </w:tc>
      </w:tr>
      <w:tr w:rsidR="00913F97" w:rsidTr="00534CE3">
        <w:trPr>
          <w:trHeight w:val="10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D97CF8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  <w:r w:rsidRPr="00D97CF8">
              <w:rPr>
                <w:rFonts w:ascii="Times New Roman" w:hAnsi="Times New Roman" w:cs="Times New Roman"/>
                <w:sz w:val="20"/>
              </w:rPr>
              <w:t>4. Доля устраненных нарушений из числа выявленных нарушений в сфере охраны окружающей среды и природопользования до 75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D97CF8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CF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461525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461525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461525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1525">
              <w:rPr>
                <w:rFonts w:ascii="Times New Roman" w:hAnsi="Times New Roman" w:cs="Times New Roman"/>
                <w:sz w:val="20"/>
                <w:szCs w:val="20"/>
              </w:rPr>
              <w:t>В 2022 году в соответствии с Постановлением Правительства Российской Федерации от 10 марта 2022 г. № 336 «Об особенностях организации и осуществления государственного контроля (надзора), муниципального контроля» плановых и внеплановых проверок не проводились</w:t>
            </w:r>
          </w:p>
        </w:tc>
      </w:tr>
      <w:tr w:rsidR="00913F97" w:rsidTr="007412F8">
        <w:trPr>
          <w:trHeight w:val="165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3A62B4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  <w:r w:rsidRPr="003A62B4">
              <w:rPr>
                <w:rFonts w:ascii="Times New Roman" w:hAnsi="Times New Roman" w:cs="Times New Roman"/>
                <w:sz w:val="20"/>
              </w:rPr>
              <w:t>5. Количество созданных особо охраняемых природных территорий регионального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3A62B4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3A62B4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3A62B4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62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E05A2E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A2E">
              <w:rPr>
                <w:rFonts w:ascii="Times New Roman" w:hAnsi="Times New Roman" w:cs="Times New Roman"/>
                <w:sz w:val="20"/>
                <w:szCs w:val="20"/>
              </w:rPr>
              <w:t xml:space="preserve">Проводились работы по согласованию создания ООПТ с администрацией Овюрского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Эрзинского </w:t>
            </w:r>
            <w:r w:rsidRPr="00E05A2E">
              <w:rPr>
                <w:rFonts w:ascii="Times New Roman" w:hAnsi="Times New Roman" w:cs="Times New Roman"/>
                <w:sz w:val="20"/>
                <w:szCs w:val="20"/>
              </w:rPr>
              <w:t>кожуун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E05A2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913F97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РГБУ «Природный парк «Тыва» с</w:t>
            </w:r>
            <w:r w:rsidRPr="00E60050">
              <w:rPr>
                <w:rFonts w:ascii="Times New Roman" w:hAnsi="Times New Roman" w:cs="Times New Roman"/>
                <w:sz w:val="20"/>
                <w:szCs w:val="20"/>
              </w:rPr>
              <w:t>оздание нового кластерного участка «Хамсыра» запланировано после рассмотрения данного вопроса на сходе граждан Тоджинского кожууна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05A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3F97" w:rsidRPr="003A62B4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5A2E">
              <w:rPr>
                <w:rFonts w:ascii="Times New Roman" w:hAnsi="Times New Roman" w:cs="Times New Roman"/>
                <w:sz w:val="20"/>
                <w:szCs w:val="20"/>
              </w:rPr>
              <w:t>Данные работы переносятся на 2023 год.</w:t>
            </w:r>
          </w:p>
        </w:tc>
      </w:tr>
      <w:tr w:rsidR="00913F97" w:rsidTr="00534CE3">
        <w:trPr>
          <w:trHeight w:val="523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 Доля контрольных мероприятий по соблюдению режима особо охраняемых природных территорий в общем количестве контрольных мероприятий в области охраны окружающей среды и природопользования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>ГБУ «Дирекцией по ООПТ Республи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 Тыва» всего по состоянию на 01.01.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E9438A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  <w:r w:rsidRPr="00E9438A">
              <w:rPr>
                <w:rFonts w:ascii="Times New Roman" w:hAnsi="Times New Roman" w:cs="Times New Roman"/>
                <w:sz w:val="20"/>
                <w:szCs w:val="20"/>
              </w:rPr>
              <w:t xml:space="preserve"> рейдовых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 соблюдению режима ООПТ.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Выявлено 89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 xml:space="preserve"> нарушений природоохранного законодат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ельства, по которым составлено 88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административных правонарушений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223 тыс. руб</w:t>
            </w:r>
            <w:r w:rsidRPr="000863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3F97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Государственными инспекторами РГБУ «Природный парк «Тыва» на территориях 4-х кластерных участков Республики Тыва были проведены 381 контрольно-рейдовых мероприятий, в том числе с другими контролирующими органами, выявлено 50 нарушения природоохранного законодательства на 150 тыс. руб.</w:t>
            </w:r>
          </w:p>
        </w:tc>
      </w:tr>
      <w:tr w:rsidR="00913F97" w:rsidRPr="00601AE1" w:rsidTr="00534CE3">
        <w:trPr>
          <w:trHeight w:val="76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 Создание экологических троп на особо охраняемых природных территориях регионального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E3002C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0B38EE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8EE">
              <w:rPr>
                <w:rFonts w:ascii="Times New Roman" w:hAnsi="Times New Roman" w:cs="Times New Roman"/>
                <w:sz w:val="20"/>
                <w:szCs w:val="20"/>
              </w:rPr>
              <w:t>Для продолжения работы по созданию инфраструктуры для экологического туризма на особо охраняемой природной территории регионального значения «Природный парк Тыва», кластерный участок ст. Тайга были предусмотрены 4000,0 тыс. рублей.</w:t>
            </w:r>
          </w:p>
        </w:tc>
      </w:tr>
      <w:tr w:rsidR="00913F97" w:rsidTr="00534CE3">
        <w:trPr>
          <w:trHeight w:val="42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8. Прирост запасов минерального сырья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BE7A9E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1291,032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0B38EE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38EE">
              <w:rPr>
                <w:rFonts w:ascii="Times New Roman" w:hAnsi="Times New Roman" w:cs="Times New Roman"/>
                <w:sz w:val="20"/>
                <w:szCs w:val="20"/>
              </w:rPr>
              <w:t>За 1 квартал 2022 года экспертной комиссией Минлесхоз РТ по результатам поисков и оценки месторождений ООО «Лунсин» государственному учету подлежат запасы песчано-гравийных пород на участках недр по лицензиям КЗЛ 78,92 и 94. Утвержденные запасы месторождений подготовлены к промышленному освоению.</w:t>
            </w:r>
          </w:p>
        </w:tc>
      </w:tr>
      <w:tr w:rsidR="00913F97" w:rsidTr="00534CE3">
        <w:trPr>
          <w:trHeight w:val="48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9. Объем добычи общераспространенных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BE7A9E" w:rsidRDefault="00913F97" w:rsidP="00913F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7A9E">
              <w:rPr>
                <w:rFonts w:ascii="Times New Roman" w:hAnsi="Times New Roman" w:cs="Times New Roman"/>
                <w:sz w:val="20"/>
                <w:szCs w:val="20"/>
              </w:rPr>
              <w:t>тыс. куб.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3F97" w:rsidRPr="00BE7A9E" w:rsidRDefault="00913F97" w:rsidP="00913F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76A4">
              <w:rPr>
                <w:rFonts w:ascii="Times New Roman" w:hAnsi="Times New Roman" w:cs="Times New Roman"/>
                <w:sz w:val="18"/>
                <w:szCs w:val="18"/>
              </w:rPr>
              <w:t>674,517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3F97" w:rsidRPr="00BE7A9E" w:rsidRDefault="00913F97" w:rsidP="00913F9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7A49">
              <w:rPr>
                <w:rFonts w:ascii="Times New Roman" w:hAnsi="Times New Roman" w:cs="Times New Roman"/>
                <w:sz w:val="18"/>
                <w:szCs w:val="18"/>
              </w:rPr>
              <w:t xml:space="preserve">За 2021 год по предоставленным статистическим отчетам недропользователей - добыто </w:t>
            </w:r>
            <w:r w:rsidRPr="000A76A4">
              <w:rPr>
                <w:rFonts w:ascii="Times New Roman" w:hAnsi="Times New Roman" w:cs="Times New Roman"/>
                <w:sz w:val="18"/>
                <w:szCs w:val="18"/>
              </w:rPr>
              <w:t>674,517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C7A49">
              <w:rPr>
                <w:rFonts w:ascii="Times New Roman" w:hAnsi="Times New Roman" w:cs="Times New Roman"/>
                <w:sz w:val="18"/>
                <w:szCs w:val="18"/>
              </w:rPr>
              <w:t>тыс. м3 общераспр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остраненных полезных ископаемых. (переисполнение на 121%). </w:t>
            </w:r>
          </w:p>
        </w:tc>
      </w:tr>
    </w:tbl>
    <w:p w:rsidR="00D82F43" w:rsidRDefault="00D82F43" w:rsidP="006939DF"/>
    <w:sectPr w:rsidR="00D82F43" w:rsidSect="00FB31B3">
      <w:pgSz w:w="11906" w:h="16838"/>
      <w:pgMar w:top="851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AE" w:rsidRDefault="00BE49AE">
      <w:pPr>
        <w:spacing w:line="240" w:lineRule="auto"/>
      </w:pPr>
      <w:r>
        <w:separator/>
      </w:r>
    </w:p>
  </w:endnote>
  <w:endnote w:type="continuationSeparator" w:id="0">
    <w:p w:rsidR="00BE49AE" w:rsidRDefault="00BE4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AE" w:rsidRDefault="00BE49AE">
      <w:pPr>
        <w:spacing w:after="0"/>
      </w:pPr>
      <w:r>
        <w:separator/>
      </w:r>
    </w:p>
  </w:footnote>
  <w:footnote w:type="continuationSeparator" w:id="0">
    <w:p w:rsidR="00BE49AE" w:rsidRDefault="00BE49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B23EC"/>
    <w:multiLevelType w:val="hybridMultilevel"/>
    <w:tmpl w:val="9984E37E"/>
    <w:lvl w:ilvl="0" w:tplc="BC4E6C2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078E2"/>
    <w:multiLevelType w:val="hybridMultilevel"/>
    <w:tmpl w:val="333CD2DA"/>
    <w:lvl w:ilvl="0" w:tplc="265C0EA6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53"/>
    <w:rsid w:val="00004211"/>
    <w:rsid w:val="000050A5"/>
    <w:rsid w:val="00006F32"/>
    <w:rsid w:val="0001050D"/>
    <w:rsid w:val="00020090"/>
    <w:rsid w:val="00023340"/>
    <w:rsid w:val="00026061"/>
    <w:rsid w:val="00036EB7"/>
    <w:rsid w:val="00041A97"/>
    <w:rsid w:val="00044082"/>
    <w:rsid w:val="000444C3"/>
    <w:rsid w:val="0005021E"/>
    <w:rsid w:val="00053401"/>
    <w:rsid w:val="00055C56"/>
    <w:rsid w:val="000646AD"/>
    <w:rsid w:val="00074518"/>
    <w:rsid w:val="00074612"/>
    <w:rsid w:val="00077D4A"/>
    <w:rsid w:val="00081A27"/>
    <w:rsid w:val="0008576E"/>
    <w:rsid w:val="0008632F"/>
    <w:rsid w:val="000863D1"/>
    <w:rsid w:val="00093A17"/>
    <w:rsid w:val="000944BB"/>
    <w:rsid w:val="000A3E86"/>
    <w:rsid w:val="000A3FC3"/>
    <w:rsid w:val="000B1D02"/>
    <w:rsid w:val="000B3539"/>
    <w:rsid w:val="000B38EE"/>
    <w:rsid w:val="000B66AC"/>
    <w:rsid w:val="000C1772"/>
    <w:rsid w:val="000C682D"/>
    <w:rsid w:val="000D103A"/>
    <w:rsid w:val="000D2708"/>
    <w:rsid w:val="000D34C4"/>
    <w:rsid w:val="000D404B"/>
    <w:rsid w:val="000D556D"/>
    <w:rsid w:val="000D64D6"/>
    <w:rsid w:val="000E2738"/>
    <w:rsid w:val="000F1A5D"/>
    <w:rsid w:val="00101198"/>
    <w:rsid w:val="00106755"/>
    <w:rsid w:val="001107A3"/>
    <w:rsid w:val="00110CA5"/>
    <w:rsid w:val="00117397"/>
    <w:rsid w:val="00123B24"/>
    <w:rsid w:val="00126653"/>
    <w:rsid w:val="001343A2"/>
    <w:rsid w:val="001552B7"/>
    <w:rsid w:val="00162F27"/>
    <w:rsid w:val="00163511"/>
    <w:rsid w:val="00163BB2"/>
    <w:rsid w:val="00164A15"/>
    <w:rsid w:val="00167E77"/>
    <w:rsid w:val="001723B1"/>
    <w:rsid w:val="001736DE"/>
    <w:rsid w:val="00173E15"/>
    <w:rsid w:val="00176FF6"/>
    <w:rsid w:val="00187E89"/>
    <w:rsid w:val="0019198A"/>
    <w:rsid w:val="00195AFD"/>
    <w:rsid w:val="00197AD9"/>
    <w:rsid w:val="001A7A8D"/>
    <w:rsid w:val="001B30AC"/>
    <w:rsid w:val="001B4D7B"/>
    <w:rsid w:val="001B5788"/>
    <w:rsid w:val="001C1D2E"/>
    <w:rsid w:val="001C3F84"/>
    <w:rsid w:val="001C510A"/>
    <w:rsid w:val="001D145B"/>
    <w:rsid w:val="001D4C6F"/>
    <w:rsid w:val="001D6B66"/>
    <w:rsid w:val="001E2B50"/>
    <w:rsid w:val="001E61F7"/>
    <w:rsid w:val="001F6014"/>
    <w:rsid w:val="00211CFF"/>
    <w:rsid w:val="00215895"/>
    <w:rsid w:val="00217DB6"/>
    <w:rsid w:val="00217EB7"/>
    <w:rsid w:val="002208B5"/>
    <w:rsid w:val="00221523"/>
    <w:rsid w:val="002226EE"/>
    <w:rsid w:val="00223789"/>
    <w:rsid w:val="00224182"/>
    <w:rsid w:val="00226F7F"/>
    <w:rsid w:val="00230133"/>
    <w:rsid w:val="00231EE6"/>
    <w:rsid w:val="0023562F"/>
    <w:rsid w:val="00236EC0"/>
    <w:rsid w:val="00241244"/>
    <w:rsid w:val="002417B8"/>
    <w:rsid w:val="00255BAE"/>
    <w:rsid w:val="0025609E"/>
    <w:rsid w:val="00265E0E"/>
    <w:rsid w:val="00272C83"/>
    <w:rsid w:val="00276771"/>
    <w:rsid w:val="0028076D"/>
    <w:rsid w:val="00280E4C"/>
    <w:rsid w:val="0028337F"/>
    <w:rsid w:val="00285A88"/>
    <w:rsid w:val="00287ACE"/>
    <w:rsid w:val="00287CFE"/>
    <w:rsid w:val="00291E73"/>
    <w:rsid w:val="002934C0"/>
    <w:rsid w:val="00294C5B"/>
    <w:rsid w:val="00295FF6"/>
    <w:rsid w:val="002A09FB"/>
    <w:rsid w:val="002A2A91"/>
    <w:rsid w:val="002A3493"/>
    <w:rsid w:val="002B3F96"/>
    <w:rsid w:val="002B77EE"/>
    <w:rsid w:val="002C29BC"/>
    <w:rsid w:val="002C4FD6"/>
    <w:rsid w:val="002D0398"/>
    <w:rsid w:val="002E0C37"/>
    <w:rsid w:val="002E160A"/>
    <w:rsid w:val="002E4D9D"/>
    <w:rsid w:val="002F6B0F"/>
    <w:rsid w:val="002F6D56"/>
    <w:rsid w:val="00301947"/>
    <w:rsid w:val="00302F57"/>
    <w:rsid w:val="00313FFE"/>
    <w:rsid w:val="00325AD7"/>
    <w:rsid w:val="00333A8A"/>
    <w:rsid w:val="00336050"/>
    <w:rsid w:val="00341BD7"/>
    <w:rsid w:val="003460DD"/>
    <w:rsid w:val="00361635"/>
    <w:rsid w:val="00362931"/>
    <w:rsid w:val="00364AF0"/>
    <w:rsid w:val="00370EBE"/>
    <w:rsid w:val="00374426"/>
    <w:rsid w:val="00374B57"/>
    <w:rsid w:val="003813B9"/>
    <w:rsid w:val="0038314B"/>
    <w:rsid w:val="00383E16"/>
    <w:rsid w:val="00385630"/>
    <w:rsid w:val="003879A9"/>
    <w:rsid w:val="00390787"/>
    <w:rsid w:val="00395E4F"/>
    <w:rsid w:val="003A0947"/>
    <w:rsid w:val="003A62B4"/>
    <w:rsid w:val="003C0812"/>
    <w:rsid w:val="003D0962"/>
    <w:rsid w:val="003D1488"/>
    <w:rsid w:val="003D2CA0"/>
    <w:rsid w:val="003D7EDA"/>
    <w:rsid w:val="003F1D5B"/>
    <w:rsid w:val="003F6D2F"/>
    <w:rsid w:val="004009D2"/>
    <w:rsid w:val="00406B59"/>
    <w:rsid w:val="00406D81"/>
    <w:rsid w:val="0041528D"/>
    <w:rsid w:val="00421A4D"/>
    <w:rsid w:val="00422842"/>
    <w:rsid w:val="0042294D"/>
    <w:rsid w:val="00422BB6"/>
    <w:rsid w:val="004267DD"/>
    <w:rsid w:val="0042760F"/>
    <w:rsid w:val="00430884"/>
    <w:rsid w:val="00434CDA"/>
    <w:rsid w:val="00437202"/>
    <w:rsid w:val="00437F08"/>
    <w:rsid w:val="004414B1"/>
    <w:rsid w:val="004426E2"/>
    <w:rsid w:val="004432D5"/>
    <w:rsid w:val="00443541"/>
    <w:rsid w:val="00444535"/>
    <w:rsid w:val="00445EA0"/>
    <w:rsid w:val="00447441"/>
    <w:rsid w:val="004521A1"/>
    <w:rsid w:val="00454CA4"/>
    <w:rsid w:val="00461A3F"/>
    <w:rsid w:val="0046252A"/>
    <w:rsid w:val="00462648"/>
    <w:rsid w:val="00463409"/>
    <w:rsid w:val="00470714"/>
    <w:rsid w:val="004730BE"/>
    <w:rsid w:val="00473383"/>
    <w:rsid w:val="004744A3"/>
    <w:rsid w:val="00477B65"/>
    <w:rsid w:val="00480D53"/>
    <w:rsid w:val="0048339D"/>
    <w:rsid w:val="0049313A"/>
    <w:rsid w:val="004939B1"/>
    <w:rsid w:val="00494EC5"/>
    <w:rsid w:val="00497EAC"/>
    <w:rsid w:val="004A3423"/>
    <w:rsid w:val="004A71EB"/>
    <w:rsid w:val="004C0993"/>
    <w:rsid w:val="004D0166"/>
    <w:rsid w:val="004E604B"/>
    <w:rsid w:val="004F076D"/>
    <w:rsid w:val="004F3C3E"/>
    <w:rsid w:val="004F63E8"/>
    <w:rsid w:val="004F7D59"/>
    <w:rsid w:val="005018E6"/>
    <w:rsid w:val="00501E20"/>
    <w:rsid w:val="00507280"/>
    <w:rsid w:val="00512FBB"/>
    <w:rsid w:val="005133DE"/>
    <w:rsid w:val="0051363B"/>
    <w:rsid w:val="0051662A"/>
    <w:rsid w:val="0052196C"/>
    <w:rsid w:val="005238E2"/>
    <w:rsid w:val="00523A89"/>
    <w:rsid w:val="00534CE3"/>
    <w:rsid w:val="00535460"/>
    <w:rsid w:val="005377F9"/>
    <w:rsid w:val="005378D1"/>
    <w:rsid w:val="00551502"/>
    <w:rsid w:val="005543B5"/>
    <w:rsid w:val="0056160E"/>
    <w:rsid w:val="00561F96"/>
    <w:rsid w:val="00563C11"/>
    <w:rsid w:val="00572E63"/>
    <w:rsid w:val="005752E9"/>
    <w:rsid w:val="0057608E"/>
    <w:rsid w:val="00576406"/>
    <w:rsid w:val="005818ED"/>
    <w:rsid w:val="00582C97"/>
    <w:rsid w:val="00583F71"/>
    <w:rsid w:val="00587C59"/>
    <w:rsid w:val="00587F5C"/>
    <w:rsid w:val="0059062A"/>
    <w:rsid w:val="005A29B2"/>
    <w:rsid w:val="005A6212"/>
    <w:rsid w:val="005B09ED"/>
    <w:rsid w:val="005B1956"/>
    <w:rsid w:val="005B5B7E"/>
    <w:rsid w:val="005C1DC9"/>
    <w:rsid w:val="005C4283"/>
    <w:rsid w:val="005D2925"/>
    <w:rsid w:val="005D3FE2"/>
    <w:rsid w:val="005E0E1B"/>
    <w:rsid w:val="005E3065"/>
    <w:rsid w:val="005E6745"/>
    <w:rsid w:val="005E728F"/>
    <w:rsid w:val="005F0141"/>
    <w:rsid w:val="005F5368"/>
    <w:rsid w:val="005F7612"/>
    <w:rsid w:val="00601AE1"/>
    <w:rsid w:val="00604042"/>
    <w:rsid w:val="00605F3B"/>
    <w:rsid w:val="00616A9B"/>
    <w:rsid w:val="00631F9A"/>
    <w:rsid w:val="006346FB"/>
    <w:rsid w:val="0063787B"/>
    <w:rsid w:val="0064689F"/>
    <w:rsid w:val="00646A71"/>
    <w:rsid w:val="00646E04"/>
    <w:rsid w:val="00657E00"/>
    <w:rsid w:val="00671CFC"/>
    <w:rsid w:val="0067262B"/>
    <w:rsid w:val="00676A20"/>
    <w:rsid w:val="006813C2"/>
    <w:rsid w:val="00681F27"/>
    <w:rsid w:val="0068716E"/>
    <w:rsid w:val="006939DF"/>
    <w:rsid w:val="00695453"/>
    <w:rsid w:val="006A16C0"/>
    <w:rsid w:val="006A1DA2"/>
    <w:rsid w:val="006A2E0E"/>
    <w:rsid w:val="006A6C2E"/>
    <w:rsid w:val="006B0EA3"/>
    <w:rsid w:val="006B3ED2"/>
    <w:rsid w:val="006B7405"/>
    <w:rsid w:val="006C37CC"/>
    <w:rsid w:val="006C3EE0"/>
    <w:rsid w:val="006D0E0E"/>
    <w:rsid w:val="006D26E9"/>
    <w:rsid w:val="006D564A"/>
    <w:rsid w:val="006D56AF"/>
    <w:rsid w:val="006E0113"/>
    <w:rsid w:val="006E71AD"/>
    <w:rsid w:val="006F0DF2"/>
    <w:rsid w:val="006F3981"/>
    <w:rsid w:val="006F4DBB"/>
    <w:rsid w:val="006F77EA"/>
    <w:rsid w:val="00702AE4"/>
    <w:rsid w:val="007034F7"/>
    <w:rsid w:val="0071151D"/>
    <w:rsid w:val="00714280"/>
    <w:rsid w:val="00716742"/>
    <w:rsid w:val="00721216"/>
    <w:rsid w:val="00727664"/>
    <w:rsid w:val="00734BD7"/>
    <w:rsid w:val="007358C1"/>
    <w:rsid w:val="007412F8"/>
    <w:rsid w:val="00742F55"/>
    <w:rsid w:val="00743EA9"/>
    <w:rsid w:val="00754419"/>
    <w:rsid w:val="0076642D"/>
    <w:rsid w:val="007664EC"/>
    <w:rsid w:val="007714DD"/>
    <w:rsid w:val="007772ED"/>
    <w:rsid w:val="0077733C"/>
    <w:rsid w:val="00781E97"/>
    <w:rsid w:val="00781EEA"/>
    <w:rsid w:val="00786ED2"/>
    <w:rsid w:val="0079671D"/>
    <w:rsid w:val="007A0FEE"/>
    <w:rsid w:val="007A15C3"/>
    <w:rsid w:val="007A1D90"/>
    <w:rsid w:val="007A4681"/>
    <w:rsid w:val="007B0F0A"/>
    <w:rsid w:val="007B7EC6"/>
    <w:rsid w:val="007D0139"/>
    <w:rsid w:val="007D0A70"/>
    <w:rsid w:val="007D4149"/>
    <w:rsid w:val="007E76A3"/>
    <w:rsid w:val="007F3025"/>
    <w:rsid w:val="007F549F"/>
    <w:rsid w:val="00800E26"/>
    <w:rsid w:val="00801452"/>
    <w:rsid w:val="00802224"/>
    <w:rsid w:val="00804200"/>
    <w:rsid w:val="00810649"/>
    <w:rsid w:val="0081164D"/>
    <w:rsid w:val="00812D92"/>
    <w:rsid w:val="00816D61"/>
    <w:rsid w:val="0082047B"/>
    <w:rsid w:val="00827634"/>
    <w:rsid w:val="008319C9"/>
    <w:rsid w:val="008334B7"/>
    <w:rsid w:val="008358F9"/>
    <w:rsid w:val="008413EB"/>
    <w:rsid w:val="008423BC"/>
    <w:rsid w:val="00843971"/>
    <w:rsid w:val="00845B08"/>
    <w:rsid w:val="00851484"/>
    <w:rsid w:val="008578ED"/>
    <w:rsid w:val="008625A0"/>
    <w:rsid w:val="00863A7A"/>
    <w:rsid w:val="00863F95"/>
    <w:rsid w:val="00865AEE"/>
    <w:rsid w:val="008815A9"/>
    <w:rsid w:val="00883E21"/>
    <w:rsid w:val="0089205A"/>
    <w:rsid w:val="00896D53"/>
    <w:rsid w:val="008A170E"/>
    <w:rsid w:val="008A4E07"/>
    <w:rsid w:val="008C7018"/>
    <w:rsid w:val="008C7047"/>
    <w:rsid w:val="008C7742"/>
    <w:rsid w:val="008D2C0A"/>
    <w:rsid w:val="008D3AF0"/>
    <w:rsid w:val="008D484A"/>
    <w:rsid w:val="008D59B2"/>
    <w:rsid w:val="008E31C8"/>
    <w:rsid w:val="008F19DD"/>
    <w:rsid w:val="008F2F23"/>
    <w:rsid w:val="008F3443"/>
    <w:rsid w:val="00902115"/>
    <w:rsid w:val="00903C69"/>
    <w:rsid w:val="00904DC5"/>
    <w:rsid w:val="0091075D"/>
    <w:rsid w:val="00913F97"/>
    <w:rsid w:val="00916479"/>
    <w:rsid w:val="00917699"/>
    <w:rsid w:val="00924C8A"/>
    <w:rsid w:val="00926163"/>
    <w:rsid w:val="00932A5B"/>
    <w:rsid w:val="00934E08"/>
    <w:rsid w:val="00941A0B"/>
    <w:rsid w:val="00942231"/>
    <w:rsid w:val="0094647F"/>
    <w:rsid w:val="009531CF"/>
    <w:rsid w:val="00957254"/>
    <w:rsid w:val="00967C1F"/>
    <w:rsid w:val="00982256"/>
    <w:rsid w:val="00982901"/>
    <w:rsid w:val="0098512C"/>
    <w:rsid w:val="009856FE"/>
    <w:rsid w:val="00990820"/>
    <w:rsid w:val="00990D3E"/>
    <w:rsid w:val="00997BF7"/>
    <w:rsid w:val="009A1656"/>
    <w:rsid w:val="009A16C2"/>
    <w:rsid w:val="009B2839"/>
    <w:rsid w:val="009B3504"/>
    <w:rsid w:val="009B4D4F"/>
    <w:rsid w:val="009B54AA"/>
    <w:rsid w:val="009B5C01"/>
    <w:rsid w:val="009C294A"/>
    <w:rsid w:val="009C3478"/>
    <w:rsid w:val="009C79F7"/>
    <w:rsid w:val="009D11B5"/>
    <w:rsid w:val="009D6398"/>
    <w:rsid w:val="009D6F0B"/>
    <w:rsid w:val="009E0995"/>
    <w:rsid w:val="009E14C4"/>
    <w:rsid w:val="009E37D6"/>
    <w:rsid w:val="009F373A"/>
    <w:rsid w:val="00A002DA"/>
    <w:rsid w:val="00A06E3B"/>
    <w:rsid w:val="00A1203B"/>
    <w:rsid w:val="00A13384"/>
    <w:rsid w:val="00A17146"/>
    <w:rsid w:val="00A3119E"/>
    <w:rsid w:val="00A32625"/>
    <w:rsid w:val="00A34B22"/>
    <w:rsid w:val="00A41755"/>
    <w:rsid w:val="00A42F1D"/>
    <w:rsid w:val="00A43114"/>
    <w:rsid w:val="00A43DD2"/>
    <w:rsid w:val="00A47B70"/>
    <w:rsid w:val="00A47D40"/>
    <w:rsid w:val="00A51010"/>
    <w:rsid w:val="00A52C45"/>
    <w:rsid w:val="00A55578"/>
    <w:rsid w:val="00A57D56"/>
    <w:rsid w:val="00A60059"/>
    <w:rsid w:val="00A60F67"/>
    <w:rsid w:val="00A6129B"/>
    <w:rsid w:val="00A65985"/>
    <w:rsid w:val="00A73746"/>
    <w:rsid w:val="00A73E4B"/>
    <w:rsid w:val="00A91D63"/>
    <w:rsid w:val="00A97F5C"/>
    <w:rsid w:val="00AA0CE1"/>
    <w:rsid w:val="00AA1021"/>
    <w:rsid w:val="00AA147B"/>
    <w:rsid w:val="00AA179D"/>
    <w:rsid w:val="00AA24B8"/>
    <w:rsid w:val="00AA7850"/>
    <w:rsid w:val="00AA7F8A"/>
    <w:rsid w:val="00AB29F4"/>
    <w:rsid w:val="00AB2DCE"/>
    <w:rsid w:val="00AC3105"/>
    <w:rsid w:val="00AC5EEB"/>
    <w:rsid w:val="00AC6CD5"/>
    <w:rsid w:val="00AC7A75"/>
    <w:rsid w:val="00AE7B6C"/>
    <w:rsid w:val="00AE7C5E"/>
    <w:rsid w:val="00AF17CE"/>
    <w:rsid w:val="00AF79FA"/>
    <w:rsid w:val="00B028FB"/>
    <w:rsid w:val="00B03F6D"/>
    <w:rsid w:val="00B145D1"/>
    <w:rsid w:val="00B1545E"/>
    <w:rsid w:val="00B21917"/>
    <w:rsid w:val="00B23D00"/>
    <w:rsid w:val="00B2464B"/>
    <w:rsid w:val="00B30826"/>
    <w:rsid w:val="00B33648"/>
    <w:rsid w:val="00B338DA"/>
    <w:rsid w:val="00B36162"/>
    <w:rsid w:val="00B37CF0"/>
    <w:rsid w:val="00B408E3"/>
    <w:rsid w:val="00B42174"/>
    <w:rsid w:val="00B4272D"/>
    <w:rsid w:val="00B53EBD"/>
    <w:rsid w:val="00B54BA2"/>
    <w:rsid w:val="00B624AD"/>
    <w:rsid w:val="00B63F62"/>
    <w:rsid w:val="00B76B23"/>
    <w:rsid w:val="00B77A15"/>
    <w:rsid w:val="00B86466"/>
    <w:rsid w:val="00B86555"/>
    <w:rsid w:val="00B9587E"/>
    <w:rsid w:val="00B96818"/>
    <w:rsid w:val="00BA2C59"/>
    <w:rsid w:val="00BB1338"/>
    <w:rsid w:val="00BB6A71"/>
    <w:rsid w:val="00BC0271"/>
    <w:rsid w:val="00BD2368"/>
    <w:rsid w:val="00BD6DE0"/>
    <w:rsid w:val="00BE1DEE"/>
    <w:rsid w:val="00BE49AE"/>
    <w:rsid w:val="00BE7A9E"/>
    <w:rsid w:val="00BF2A15"/>
    <w:rsid w:val="00BF46AA"/>
    <w:rsid w:val="00C00273"/>
    <w:rsid w:val="00C0354F"/>
    <w:rsid w:val="00C15A45"/>
    <w:rsid w:val="00C20253"/>
    <w:rsid w:val="00C24687"/>
    <w:rsid w:val="00C27562"/>
    <w:rsid w:val="00C313B4"/>
    <w:rsid w:val="00C33EFE"/>
    <w:rsid w:val="00C463D3"/>
    <w:rsid w:val="00C47193"/>
    <w:rsid w:val="00C54C5F"/>
    <w:rsid w:val="00C55EA5"/>
    <w:rsid w:val="00C709C7"/>
    <w:rsid w:val="00C72D8D"/>
    <w:rsid w:val="00C736FD"/>
    <w:rsid w:val="00C944C2"/>
    <w:rsid w:val="00CA0F54"/>
    <w:rsid w:val="00CA1FE0"/>
    <w:rsid w:val="00CA4D82"/>
    <w:rsid w:val="00CB2277"/>
    <w:rsid w:val="00CB5483"/>
    <w:rsid w:val="00CC15D4"/>
    <w:rsid w:val="00CD25B7"/>
    <w:rsid w:val="00CD4E0E"/>
    <w:rsid w:val="00CD5090"/>
    <w:rsid w:val="00CE1F0D"/>
    <w:rsid w:val="00CE3359"/>
    <w:rsid w:val="00CF09F8"/>
    <w:rsid w:val="00CF31A8"/>
    <w:rsid w:val="00CF6E3D"/>
    <w:rsid w:val="00D00A94"/>
    <w:rsid w:val="00D01DF2"/>
    <w:rsid w:val="00D07962"/>
    <w:rsid w:val="00D114AD"/>
    <w:rsid w:val="00D20515"/>
    <w:rsid w:val="00D20797"/>
    <w:rsid w:val="00D22913"/>
    <w:rsid w:val="00D26DBD"/>
    <w:rsid w:val="00D306E7"/>
    <w:rsid w:val="00D33581"/>
    <w:rsid w:val="00D335EF"/>
    <w:rsid w:val="00D36422"/>
    <w:rsid w:val="00D445C0"/>
    <w:rsid w:val="00D53546"/>
    <w:rsid w:val="00D577F9"/>
    <w:rsid w:val="00D67A19"/>
    <w:rsid w:val="00D74249"/>
    <w:rsid w:val="00D75B4C"/>
    <w:rsid w:val="00D82F43"/>
    <w:rsid w:val="00D85CE3"/>
    <w:rsid w:val="00D96F63"/>
    <w:rsid w:val="00D97CF8"/>
    <w:rsid w:val="00DA236F"/>
    <w:rsid w:val="00DA368A"/>
    <w:rsid w:val="00DA3BC5"/>
    <w:rsid w:val="00DB784E"/>
    <w:rsid w:val="00DC1E9E"/>
    <w:rsid w:val="00DC4A94"/>
    <w:rsid w:val="00DD01EB"/>
    <w:rsid w:val="00DD063A"/>
    <w:rsid w:val="00DD20A3"/>
    <w:rsid w:val="00DD2666"/>
    <w:rsid w:val="00DE44F7"/>
    <w:rsid w:val="00DE7BA1"/>
    <w:rsid w:val="00DF1781"/>
    <w:rsid w:val="00DF2BD7"/>
    <w:rsid w:val="00DF387B"/>
    <w:rsid w:val="00E054F4"/>
    <w:rsid w:val="00E15F91"/>
    <w:rsid w:val="00E167BB"/>
    <w:rsid w:val="00E16F3D"/>
    <w:rsid w:val="00E22EBF"/>
    <w:rsid w:val="00E23180"/>
    <w:rsid w:val="00E2690A"/>
    <w:rsid w:val="00E2767F"/>
    <w:rsid w:val="00E3002C"/>
    <w:rsid w:val="00E36AFE"/>
    <w:rsid w:val="00E42048"/>
    <w:rsid w:val="00E452CD"/>
    <w:rsid w:val="00E45C41"/>
    <w:rsid w:val="00E55497"/>
    <w:rsid w:val="00E60050"/>
    <w:rsid w:val="00E62BE2"/>
    <w:rsid w:val="00E672B2"/>
    <w:rsid w:val="00E70A57"/>
    <w:rsid w:val="00E8173B"/>
    <w:rsid w:val="00E821F0"/>
    <w:rsid w:val="00E8602D"/>
    <w:rsid w:val="00E8679F"/>
    <w:rsid w:val="00E947A1"/>
    <w:rsid w:val="00EB3C9F"/>
    <w:rsid w:val="00EB4029"/>
    <w:rsid w:val="00EB4EB5"/>
    <w:rsid w:val="00EB5B89"/>
    <w:rsid w:val="00EC1283"/>
    <w:rsid w:val="00EC3804"/>
    <w:rsid w:val="00EC56FF"/>
    <w:rsid w:val="00EC6091"/>
    <w:rsid w:val="00ED35BE"/>
    <w:rsid w:val="00ED3941"/>
    <w:rsid w:val="00ED3B3F"/>
    <w:rsid w:val="00EE358F"/>
    <w:rsid w:val="00EE7022"/>
    <w:rsid w:val="00F13545"/>
    <w:rsid w:val="00F15F18"/>
    <w:rsid w:val="00F217A3"/>
    <w:rsid w:val="00F23112"/>
    <w:rsid w:val="00F30F64"/>
    <w:rsid w:val="00F37170"/>
    <w:rsid w:val="00F37178"/>
    <w:rsid w:val="00F4040D"/>
    <w:rsid w:val="00F5254A"/>
    <w:rsid w:val="00F619BC"/>
    <w:rsid w:val="00F6444D"/>
    <w:rsid w:val="00F73F03"/>
    <w:rsid w:val="00F76835"/>
    <w:rsid w:val="00F81687"/>
    <w:rsid w:val="00FA1E9F"/>
    <w:rsid w:val="00FA216D"/>
    <w:rsid w:val="00FA2442"/>
    <w:rsid w:val="00FA5E28"/>
    <w:rsid w:val="00FB1A62"/>
    <w:rsid w:val="00FB31B3"/>
    <w:rsid w:val="00FB3228"/>
    <w:rsid w:val="00FB3938"/>
    <w:rsid w:val="00FB5CBA"/>
    <w:rsid w:val="00FC52F5"/>
    <w:rsid w:val="00FC758B"/>
    <w:rsid w:val="00FD3A7B"/>
    <w:rsid w:val="00FE1CDE"/>
    <w:rsid w:val="00FF0491"/>
    <w:rsid w:val="00FF7C66"/>
    <w:rsid w:val="185A5907"/>
    <w:rsid w:val="583B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B9F8"/>
  <w15:docId w15:val="{E66E16CA-C50C-4EA1-9225-B680C98D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rsid w:val="00B308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FA197E-BB37-49EA-B9D2-FE6FBC6E2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6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Lira</cp:lastModifiedBy>
  <cp:revision>468</cp:revision>
  <cp:lastPrinted>2022-12-05T05:01:00Z</cp:lastPrinted>
  <dcterms:created xsi:type="dcterms:W3CDTF">2021-09-06T10:29:00Z</dcterms:created>
  <dcterms:modified xsi:type="dcterms:W3CDTF">2023-03-03T01:40:00Z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1049-11.2.0.10258</vt:lpwstr>
  </property>
  <property fmtid="{D5CDD505-2E9C-101B-9397-08002B2CF9AE}" pid="3" name="ICV">
    <vt:lpwstr>8A54C5C779AA4B3B87ED34664A449688</vt:lpwstr>
  </property>
</Properties>
</file>